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33DE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IMMEDIATA DI ACCESSO AGLI ATTI DA VALERE AD OGNI EFFETTO DI LEGGE</w:t>
      </w:r>
    </w:p>
    <w:p w14:paraId="77DE33DF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DE33E0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b/>
          <w:bCs/>
          <w:sz w:val="24"/>
          <w:szCs w:val="24"/>
        </w:rPr>
        <w:t>Luigi Cosmo Damiano Rebecchini</w:t>
      </w:r>
      <w:r>
        <w:rPr>
          <w:rFonts w:ascii="Times New Roman" w:hAnsi="Times New Roman" w:cs="Times New Roman"/>
          <w:sz w:val="24"/>
          <w:szCs w:val="24"/>
        </w:rPr>
        <w:t xml:space="preserve">, quale capo-gruppo di Forza Italia Civici per Senigallia, chiede con la presente formalmente l’invio (anche tramite email) del PEG relativo al bilancio che si andrà ad approvare questa settimana. </w:t>
      </w:r>
    </w:p>
    <w:p w14:paraId="77DE33E1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richiede detto invio con massima urgenza al fine di poter esercitare il proprio ruolo e la propria funzione in seno al Consiglio Comunale p.v.</w:t>
      </w:r>
    </w:p>
    <w:p w14:paraId="77DE33E2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E33E3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ricorda NON E’ POSSIBILE per la P.A. impedire al consigliere comunale l’accesso agli atti del Peg il quale rappresenta oggi un documento </w:t>
      </w:r>
      <w:r>
        <w:rPr>
          <w:rFonts w:ascii="Times New Roman" w:hAnsi="Times New Roman" w:cs="Times New Roman"/>
          <w:i/>
          <w:iCs/>
          <w:sz w:val="24"/>
          <w:szCs w:val="24"/>
        </w:rPr>
        <w:t>in itinere</w:t>
      </w:r>
      <w:r>
        <w:rPr>
          <w:rFonts w:ascii="Times New Roman" w:hAnsi="Times New Roman" w:cs="Times New Roman"/>
          <w:sz w:val="24"/>
          <w:szCs w:val="24"/>
        </w:rPr>
        <w:t xml:space="preserve"> ostensibile. </w:t>
      </w:r>
    </w:p>
    <w:p w14:paraId="77DE33E4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L’art. 43 </w:t>
      </w:r>
      <w:proofErr w:type="gramStart"/>
      <w:r>
        <w:rPr>
          <w:rFonts w:ascii="Times New Roman" w:hAnsi="Times New Roman" w:cs="Times New Roman"/>
          <w:sz w:val="24"/>
          <w:szCs w:val="24"/>
        </w:rPr>
        <w:t>del  TUEL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stabilisce che i consiglieri comunali e provinciali hanno diritto di iniziativa su ogni questione sottoposta alla deliberazione del consiglio. Ed al secondo comma stabilisce che “I consiglieri comunali e provinciali hanno diritto di ottenere dagli uffici, rispettivamente, del comune e della provincia, nonché dalle loro aziende ed enti dipendenti,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tutte le notizie e le informazioni in loro possesso</w:t>
      </w:r>
      <w:r>
        <w:rPr>
          <w:rFonts w:ascii="Times New Roman" w:hAnsi="Times New Roman" w:cs="Times New Roman"/>
          <w:sz w:val="24"/>
          <w:szCs w:val="24"/>
        </w:rPr>
        <w:t>, utili all'espletamento del proprio mandato…”.</w:t>
      </w:r>
    </w:p>
    <w:p w14:paraId="77DE33E5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DE33E6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Consiglio di Stato, con sentenza n. 4525/2014, ha ulteriormente precisato che </w:t>
      </w:r>
      <w:r>
        <w:rPr>
          <w:rFonts w:ascii="Times New Roman" w:hAnsi="Times New Roman" w:cs="Times New Roman"/>
          <w:sz w:val="24"/>
          <w:szCs w:val="24"/>
        </w:rPr>
        <w:t xml:space="preserve">i consiglieri comunali hanno un </w:t>
      </w:r>
      <w:r>
        <w:rPr>
          <w:rFonts w:ascii="Times New Roman" w:hAnsi="Times New Roman" w:cs="Times New Roman"/>
          <w:b/>
          <w:bCs/>
          <w:sz w:val="32"/>
          <w:szCs w:val="32"/>
        </w:rPr>
        <w:t>incondizionato diritto di accesso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tutti gli atti che possano essere d'utilità all'espletamento delle loro funzioni</w:t>
      </w:r>
      <w:r>
        <w:rPr>
          <w:rFonts w:ascii="Times New Roman" w:hAnsi="Times New Roman" w:cs="Times New Roman"/>
          <w:sz w:val="24"/>
          <w:szCs w:val="24"/>
        </w:rPr>
        <w:t xml:space="preserve">, anche al fine di permettere di valutare, con piena cognizione, la correttezza e l'efficacia dell'operato dell'Amministrazione, </w:t>
      </w:r>
      <w:r>
        <w:rPr>
          <w:rFonts w:ascii="Times New Roman" w:hAnsi="Times New Roman" w:cs="Times New Roman"/>
          <w:sz w:val="24"/>
          <w:szCs w:val="24"/>
          <w:u w:val="single"/>
        </w:rPr>
        <w:t>nonché di esprimere un voto consapevole sulle questioni di competenza del Consiglio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E33E7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nulla serve obiettare che, ad oggi, il Peg non sia stato approvato (finanche ovvio, atteso che prima occorre approvare il bilancio e poi, conseguentemente, le specifiche di spesa che però compongono il bilancio stesso). Infatti, in altra pronuncia, il Consiglio di Stato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(sez. V, sentenza n. 3856 del 13 settembre 2016</w:t>
      </w:r>
      <w:r>
        <w:rPr>
          <w:rFonts w:ascii="Times New Roman" w:hAnsi="Times New Roman" w:cs="Times New Roman"/>
          <w:sz w:val="24"/>
          <w:szCs w:val="24"/>
        </w:rPr>
        <w:t xml:space="preserve">) ha affermato che la generale disciplina in tema di accesso agli atti </w:t>
      </w:r>
      <w:r>
        <w:rPr>
          <w:rFonts w:ascii="Times New Roman" w:hAnsi="Times New Roman" w:cs="Times New Roman"/>
          <w:b/>
          <w:bCs/>
          <w:sz w:val="24"/>
          <w:szCs w:val="24"/>
        </w:rPr>
        <w:t>non limita l’ambito ai soli provvedimenti conclusivi,</w:t>
      </w:r>
      <w:r>
        <w:rPr>
          <w:rFonts w:ascii="Times New Roman" w:hAnsi="Times New Roman" w:cs="Times New Roman"/>
          <w:sz w:val="24"/>
          <w:szCs w:val="24"/>
        </w:rPr>
        <w:t> indicando – al contrario – una ben più ampia nozione di documento amministrativo fino ad arrivare agli atti ENDOPROCEDIMENTALI (tale è senza dubbio la bozza del PEG).</w:t>
      </w:r>
    </w:p>
    <w:p w14:paraId="77DE33E8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ancora: </w:t>
      </w:r>
      <w:r>
        <w:rPr>
          <w:rFonts w:ascii="Times New Roman" w:hAnsi="Times New Roman" w:cs="Times New Roman"/>
          <w:b/>
          <w:bCs/>
          <w:sz w:val="24"/>
          <w:szCs w:val="24"/>
        </w:rPr>
        <w:t>l’attività in itinere</w:t>
      </w:r>
      <w:r>
        <w:rPr>
          <w:rFonts w:ascii="Times New Roman" w:hAnsi="Times New Roman" w:cs="Times New Roman"/>
          <w:sz w:val="24"/>
          <w:szCs w:val="24"/>
        </w:rPr>
        <w:t xml:space="preserve"> (gli atti cioè infra-procedimentali) è quindi sempre </w:t>
      </w:r>
      <w:r>
        <w:rPr>
          <w:rFonts w:ascii="Times New Roman" w:hAnsi="Times New Roman" w:cs="Times New Roman"/>
          <w:b/>
          <w:bCs/>
          <w:sz w:val="24"/>
          <w:szCs w:val="24"/>
        </w:rPr>
        <w:t>accessibile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.A.R. Campania - Salerno,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sez.II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7 novembre 2006, n.1961</w:t>
      </w:r>
      <w:r>
        <w:rPr>
          <w:rFonts w:ascii="Times New Roman" w:hAnsi="Times New Roman" w:cs="Times New Roman"/>
          <w:sz w:val="24"/>
          <w:szCs w:val="24"/>
        </w:rPr>
        <w:t xml:space="preserve">). Anche il Tar Abruzzo, conspecifico riferimento al consigliere comunale, ha precisato che  prevale un principio di “favor”, nel senso della più ampia “accessibilità”, intesa anche come forma di tutela e garanzia, finalizzata al pubblico interesse, dovendosi detto diritto essere riconosciuto addirittura </w:t>
      </w:r>
      <w:r>
        <w:rPr>
          <w:rFonts w:ascii="Times New Roman" w:hAnsi="Times New Roman" w:cs="Times New Roman"/>
          <w:sz w:val="32"/>
          <w:szCs w:val="32"/>
        </w:rPr>
        <w:t xml:space="preserve">anche nei confronti di documenti rappresentativi di </w:t>
      </w:r>
      <w:r>
        <w:rPr>
          <w:rFonts w:ascii="Times New Roman" w:hAnsi="Times New Roman" w:cs="Times New Roman"/>
          <w:b/>
          <w:bCs/>
          <w:sz w:val="32"/>
          <w:szCs w:val="32"/>
        </w:rPr>
        <w:t>mera attività interna dell’Amministrazione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a prescindere dal fatto che essi siano stati o meno concretamente utilizzati ai fini dell’attività con rilevanza esterna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così T.A.R. Abruzzo - L’Aquila, 29 maggio 2006 n.386</w:t>
      </w:r>
      <w:r>
        <w:rPr>
          <w:rFonts w:ascii="Times New Roman" w:hAnsi="Times New Roman" w:cs="Times New Roman"/>
          <w:sz w:val="24"/>
          <w:szCs w:val="24"/>
        </w:rPr>
        <w:t>,).</w:t>
      </w:r>
    </w:p>
    <w:p w14:paraId="77DE33E9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DE33EA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in modo assolutamente espresso e senza tema di smentita (in realtà non vi sarebbe stato alcun bisogno di tale pronuncia, perché fin troppo evidente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ostensibilità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PEG al consigliere comunale anche prima della sua formale approvazione) il </w:t>
      </w:r>
      <w:r>
        <w:rPr>
          <w:rFonts w:ascii="Times New Roman" w:hAnsi="Times New Roman" w:cs="Times New Roman"/>
          <w:b/>
          <w:bCs/>
          <w:sz w:val="24"/>
          <w:szCs w:val="24"/>
        </w:rPr>
        <w:t>Dipartimento governativo per gli Affari interni e Territoriali</w:t>
      </w:r>
      <w:r>
        <w:rPr>
          <w:rFonts w:ascii="Times New Roman" w:hAnsi="Times New Roman" w:cs="Times New Roman"/>
          <w:sz w:val="24"/>
          <w:szCs w:val="24"/>
        </w:rPr>
        <w:t xml:space="preserve">, chiamato ad esprimersi sul diniego di una Amministrazione comunale di garantire l’accesso agli atti ad un consigliere comunale, sulla PROPOSTA di PEG (esattamente il nostro caso), con  </w:t>
      </w:r>
      <w:r>
        <w:rPr>
          <w:rFonts w:ascii="Times New Roman" w:hAnsi="Times New Roman" w:cs="Times New Roman"/>
          <w:b/>
          <w:bCs/>
          <w:sz w:val="24"/>
          <w:szCs w:val="24"/>
        </w:rPr>
        <w:t>Massima del 18 maggio 2017, ha stabilito:</w:t>
      </w:r>
    </w:p>
    <w:p w14:paraId="77DE33EB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DE33EC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“… gli Uffici comunali non hanno il potere di sindacare il nesso intercorrente tra l’oggetto delle richieste di informazioni avanzate da un Consigliere comunale e le modalità di esercizio del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 questi espletato…  Nel caso particolare, si rileva che l’articolo 169 del decreto legislativo n. 267/00 relativo al Piano esecutivo di gestione (PEG), al comma 3, prevede la facoltatività dell’adozione di tale strumento per i comuni con popolazione inferiore ai 5.000 abitanti. L’art. 227 del medesimo decreto legislativo disciplina il rendiconto di gestione disponendo al comma 3 una deroga per tale tipologia di comuni in ordine alla predisposizione del conto economico, dello stato patrimoniale e del bilancio consolidato per gli enti che si avvalgono della facoltà di non tenere la contabilità economico-patrimoniale prevista dall'art. 232. Ciò premesso,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 appare che le disposizioni in parola contengano limitazioni all’accesso nei riguardi dei consiglieri comunali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quali,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oltre ad avere diritto di visionare ed eventualmente di estrarre copia di qualsiasi atto che sia in possesso del comune</w:t>
      </w:r>
      <w:r>
        <w:rPr>
          <w:rFonts w:ascii="Times New Roman" w:hAnsi="Times New Roman" w:cs="Times New Roman"/>
          <w:i/>
          <w:iCs/>
          <w:sz w:val="24"/>
          <w:szCs w:val="24"/>
        </w:rPr>
        <w:t>, hanno un diritto a visionare proprio gli specifici atti ai sensi dell’articolo 227 citato - che al comma 2, prevede testualmente che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proposta è messa a disposizione dei componenti dell'organo consiliare prima dell'inizio della sessione consiliare in cui viene esaminato il rendiconto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entro un termine, non inferiore a venti giorni, stabilito dal regolamento di contabilità”. Pertanto, alla luce del quadro sopra delineato,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 sembra che possa negarsi l’accesso agli atti richiesti.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 quanto precede si prega di fare analoga comunicazione all’ente interessato”.</w:t>
      </w:r>
    </w:p>
    <w:p w14:paraId="77DE33ED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E33EE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ciò premesso si insiste nella richiesta e si chiede in termini di legge l’immediato invio della proposta di PEG.</w:t>
      </w:r>
    </w:p>
    <w:p w14:paraId="77DE33EF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DE33F0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Luigi Cosmo Damiano Rebecchini</w:t>
      </w:r>
    </w:p>
    <w:p w14:paraId="77DE33F1" w14:textId="77777777" w:rsidR="00C92001" w:rsidRDefault="00C92001" w:rsidP="00C9200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(capogruppo di Forza Italia)</w:t>
      </w:r>
    </w:p>
    <w:p w14:paraId="77DE33F2" w14:textId="77777777" w:rsidR="00A7400C" w:rsidRDefault="00A7400C"/>
    <w:sectPr w:rsidR="00A74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01"/>
    <w:rsid w:val="008A1FD6"/>
    <w:rsid w:val="00A7400C"/>
    <w:rsid w:val="00C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3DE"/>
  <w15:chartTrackingRefBased/>
  <w15:docId w15:val="{C364C3D6-4674-499E-A5A2-BF3C627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00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Romagnoli Simona</cp:lastModifiedBy>
  <cp:revision>2</cp:revision>
  <dcterms:created xsi:type="dcterms:W3CDTF">2022-12-28T17:01:00Z</dcterms:created>
  <dcterms:modified xsi:type="dcterms:W3CDTF">2022-12-28T17:01:00Z</dcterms:modified>
</cp:coreProperties>
</file>